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0"/>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-492759</wp:posOffset>
            </wp:positionH>
            <wp:positionV relativeFrom="paragraph">
              <wp:posOffset>-111759</wp:posOffset>
            </wp:positionV>
            <wp:extent cx="1066800" cy="993775"/>
            <wp:effectExtent b="0" l="0" r="0" t="0"/>
            <wp:wrapNone/>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0"/>
          <w:sz w:val="32"/>
          <w:szCs w:val="32"/>
          <w:vertAlign w:val="baseline"/>
        </w:rPr>
      </w:pPr>
      <w:r w:rsidDel="00000000" w:rsidR="00000000" w:rsidRPr="00000000">
        <w:rPr>
          <w:rFonts w:ascii="Calibri" w:cs="Calibri" w:eastAsia="Calibri" w:hAnsi="Calibri"/>
          <w:b w:val="1"/>
          <w:sz w:val="28"/>
          <w:szCs w:val="28"/>
          <w:vertAlign w:val="baseline"/>
          <w:rtl w:val="0"/>
        </w:rPr>
        <w:t xml:space="preserve">             </w:t>
      </w:r>
      <w:r w:rsidDel="00000000" w:rsidR="00000000" w:rsidRPr="00000000">
        <w:rPr>
          <w:rFonts w:ascii="Calibri" w:cs="Calibri" w:eastAsia="Calibri" w:hAnsi="Calibri"/>
          <w:b w:val="1"/>
          <w:sz w:val="32"/>
          <w:szCs w:val="32"/>
          <w:vertAlign w:val="baseline"/>
          <w:rtl w:val="0"/>
        </w:rPr>
        <w:t xml:space="preserve">CHOLLERTON  CHURCH  OF  ENGLAND  AIDED  FIRST  SCHOOL</w:t>
      </w:r>
      <w:r w:rsidDel="00000000" w:rsidR="00000000" w:rsidRPr="00000000">
        <w:rPr>
          <w:rtl w:val="0"/>
        </w:rPr>
      </w:r>
    </w:p>
    <w:p w:rsidR="00000000" w:rsidDel="00000000" w:rsidP="00000000" w:rsidRDefault="00000000" w:rsidRPr="00000000" w14:paraId="00000003">
      <w:pPr>
        <w:jc w:val="cente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6">
      <w:pPr>
        <w:jc w:val="cente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07">
      <w:pPr>
        <w:jc w:val="center"/>
        <w:rPr>
          <w:rFonts w:ascii="Calibri" w:cs="Calibri" w:eastAsia="Calibri" w:hAnsi="Calibri"/>
          <w:b w:val="0"/>
          <w:i w:val="0"/>
          <w:sz w:val="44"/>
          <w:szCs w:val="44"/>
          <w:u w:val="single"/>
          <w:vertAlign w:val="baseline"/>
        </w:rPr>
      </w:pPr>
      <w:r w:rsidDel="00000000" w:rsidR="00000000" w:rsidRPr="00000000">
        <w:rPr>
          <w:rFonts w:ascii="Calibri" w:cs="Calibri" w:eastAsia="Calibri" w:hAnsi="Calibri"/>
          <w:b w:val="1"/>
          <w:i w:val="1"/>
          <w:sz w:val="44"/>
          <w:szCs w:val="44"/>
          <w:u w:val="single"/>
          <w:vertAlign w:val="baseline"/>
          <w:rtl w:val="0"/>
        </w:rPr>
        <w:t xml:space="preserve">CHARGE FOR SCHOOL ACTIVITIES &amp; REMISSION POLICY</w:t>
      </w:r>
      <w:r w:rsidDel="00000000" w:rsidR="00000000" w:rsidRPr="00000000">
        <w:rPr>
          <w:rtl w:val="0"/>
        </w:rPr>
      </w:r>
    </w:p>
    <w:p w:rsidR="00000000" w:rsidDel="00000000" w:rsidP="00000000" w:rsidRDefault="00000000" w:rsidRPr="00000000" w14:paraId="00000008">
      <w:pPr>
        <w:jc w:val="both"/>
        <w:rPr>
          <w:b w:val="0"/>
          <w:u w:val="single"/>
          <w:vertAlign w:val="baseline"/>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 accordance with Sections 449 - 462 of the Education Reform Act 1996, the governing Body make no charge for education or educational activities provided during school hours as part of the published curriculum.  However, the Governing Body recognises the valuable contribution that the wide range of additional activities can make towards the personal and social education of pupils.  The Governing Body therefore reserve the right to levy charges for the following activities arranged by the school, which will not excced the actual cost of the activity.</w:t>
      </w:r>
    </w:p>
    <w:p w:rsidR="00000000" w:rsidDel="00000000" w:rsidP="00000000" w:rsidRDefault="00000000" w:rsidRPr="00000000" w14:paraId="0000000A">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B">
      <w:pPr>
        <w:ind w:left="360" w:hanging="360"/>
        <w:jc w:val="both"/>
        <w:rPr>
          <w:rFonts w:ascii="Calibri" w:cs="Calibri" w:eastAsia="Calibri" w:hAnsi="Calibri"/>
          <w:u w:val="single"/>
          <w:vertAlign w:val="baseline"/>
        </w:rPr>
      </w:pPr>
      <w:r w:rsidDel="00000000" w:rsidR="00000000" w:rsidRPr="00000000">
        <w:rPr>
          <w:rFonts w:ascii="Calibri" w:cs="Calibri" w:eastAsia="Calibri" w:hAnsi="Calibri"/>
          <w:b w:val="1"/>
          <w:sz w:val="28"/>
          <w:szCs w:val="28"/>
          <w:vertAlign w:val="baseline"/>
          <w:rtl w:val="0"/>
        </w:rPr>
        <w:t xml:space="preserve">1.</w:t>
      </w:r>
      <w:r w:rsidDel="00000000" w:rsidR="00000000" w:rsidRPr="00000000">
        <w:rPr>
          <w:rFonts w:ascii="Calibri" w:cs="Calibri" w:eastAsia="Calibri" w:hAnsi="Calibri"/>
          <w:vertAlign w:val="baseline"/>
          <w:rtl w:val="0"/>
        </w:rPr>
        <w:tab/>
      </w:r>
      <w:r w:rsidDel="00000000" w:rsidR="00000000" w:rsidRPr="00000000">
        <w:rPr>
          <w:rFonts w:ascii="Calibri" w:cs="Calibri" w:eastAsia="Calibri" w:hAnsi="Calibri"/>
          <w:b w:val="1"/>
          <w:sz w:val="28"/>
          <w:szCs w:val="28"/>
          <w:u w:val="single"/>
          <w:vertAlign w:val="baseline"/>
          <w:rtl w:val="0"/>
        </w:rPr>
        <w:t xml:space="preserve">Optional Extra Activities Outside School Hours</w:t>
      </w:r>
      <w:r w:rsidDel="00000000" w:rsidR="00000000" w:rsidRPr="00000000">
        <w:rPr>
          <w:rtl w:val="0"/>
        </w:rPr>
      </w:r>
    </w:p>
    <w:p w:rsidR="00000000" w:rsidDel="00000000" w:rsidP="00000000" w:rsidRDefault="00000000" w:rsidRPr="00000000" w14:paraId="0000000C">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The full cost for activities, including residential visits which take place out of school hours may be charged to parents.  In fixing the charge, the school may take account of the costs for travel, board and lodging for supervising staff.  No charge will be made for payments to teachers who accompany such visits.</w:t>
      </w:r>
    </w:p>
    <w:p w:rsidR="00000000" w:rsidDel="00000000" w:rsidP="00000000" w:rsidRDefault="00000000" w:rsidRPr="00000000" w14:paraId="0000000D">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E">
      <w:pPr>
        <w:ind w:left="360" w:hanging="360"/>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vertAlign w:val="baseline"/>
          <w:rtl w:val="0"/>
        </w:rPr>
        <w:t xml:space="preserve">2.</w:t>
        <w:tab/>
      </w:r>
      <w:r w:rsidDel="00000000" w:rsidR="00000000" w:rsidRPr="00000000">
        <w:rPr>
          <w:rFonts w:ascii="Calibri" w:cs="Calibri" w:eastAsia="Calibri" w:hAnsi="Calibri"/>
          <w:b w:val="1"/>
          <w:sz w:val="28"/>
          <w:szCs w:val="28"/>
          <w:u w:val="single"/>
          <w:vertAlign w:val="baseline"/>
          <w:rtl w:val="0"/>
        </w:rPr>
        <w:t xml:space="preserve">Visits to Field Study Centres Partly or Fully During School Hours</w:t>
      </w:r>
      <w:r w:rsidDel="00000000" w:rsidR="00000000" w:rsidRPr="00000000">
        <w:rPr>
          <w:rtl w:val="0"/>
        </w:rPr>
      </w:r>
    </w:p>
    <w:p w:rsidR="00000000" w:rsidDel="00000000" w:rsidP="00000000" w:rsidRDefault="00000000" w:rsidRPr="00000000" w14:paraId="0000000F">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No charge will be made for such visits, other than board and lodging.</w:t>
      </w:r>
    </w:p>
    <w:p w:rsidR="00000000" w:rsidDel="00000000" w:rsidP="00000000" w:rsidRDefault="00000000" w:rsidRPr="00000000" w14:paraId="00000010">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The Governing Body will provide full remission from charge of board and lodging to pupils whose families are experiencing financial hardship.</w:t>
      </w:r>
    </w:p>
    <w:p w:rsidR="00000000" w:rsidDel="00000000" w:rsidP="00000000" w:rsidRDefault="00000000" w:rsidRPr="00000000" w14:paraId="00000011">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2">
      <w:pPr>
        <w:ind w:left="360" w:hanging="360"/>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vertAlign w:val="baseline"/>
          <w:rtl w:val="0"/>
        </w:rPr>
        <w:t xml:space="preserve">3.</w:t>
        <w:tab/>
      </w:r>
      <w:r w:rsidDel="00000000" w:rsidR="00000000" w:rsidRPr="00000000">
        <w:rPr>
          <w:rFonts w:ascii="Calibri" w:cs="Calibri" w:eastAsia="Calibri" w:hAnsi="Calibri"/>
          <w:b w:val="1"/>
          <w:sz w:val="28"/>
          <w:szCs w:val="28"/>
          <w:u w:val="single"/>
          <w:vertAlign w:val="baseline"/>
          <w:rtl w:val="0"/>
        </w:rPr>
        <w:t xml:space="preserve">Musical Instruments</w:t>
      </w:r>
      <w:r w:rsidDel="00000000" w:rsidR="00000000" w:rsidRPr="00000000">
        <w:rPr>
          <w:rtl w:val="0"/>
        </w:rPr>
      </w:r>
    </w:p>
    <w:p w:rsidR="00000000" w:rsidDel="00000000" w:rsidP="00000000" w:rsidRDefault="00000000" w:rsidRPr="00000000" w14:paraId="00000013">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If pupils make use of an instrument provided by the school this is free of charge. Tuition is provided by school free of charge.</w:t>
      </w:r>
    </w:p>
    <w:p w:rsidR="00000000" w:rsidDel="00000000" w:rsidP="00000000" w:rsidRDefault="00000000" w:rsidRPr="00000000" w14:paraId="00000014">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5">
      <w:pPr>
        <w:ind w:left="360" w:hanging="360"/>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vertAlign w:val="baseline"/>
          <w:rtl w:val="0"/>
        </w:rPr>
        <w:t xml:space="preserve">4.</w:t>
        <w:tab/>
      </w:r>
      <w:r w:rsidDel="00000000" w:rsidR="00000000" w:rsidRPr="00000000">
        <w:rPr>
          <w:rFonts w:ascii="Calibri" w:cs="Calibri" w:eastAsia="Calibri" w:hAnsi="Calibri"/>
          <w:b w:val="1"/>
          <w:sz w:val="28"/>
          <w:szCs w:val="28"/>
          <w:u w:val="single"/>
          <w:vertAlign w:val="baseline"/>
          <w:rtl w:val="0"/>
        </w:rPr>
        <w:t xml:space="preserve">Materials for Practical Lessons</w:t>
      </w:r>
      <w:r w:rsidDel="00000000" w:rsidR="00000000" w:rsidRPr="00000000">
        <w:rPr>
          <w:rtl w:val="0"/>
        </w:rPr>
      </w:r>
    </w:p>
    <w:p w:rsidR="00000000" w:rsidDel="00000000" w:rsidP="00000000" w:rsidRDefault="00000000" w:rsidRPr="00000000" w14:paraId="00000016">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Voluntary contributions or provision of goods in kind may be requested from parents for materials for practical lessons (CDT, Home Economics or other subject areas as the Governing Body may from time to time determine), if parents indicate in advance a wish to own the finished product.</w:t>
      </w:r>
    </w:p>
    <w:p w:rsidR="00000000" w:rsidDel="00000000" w:rsidP="00000000" w:rsidRDefault="00000000" w:rsidRPr="00000000" w14:paraId="00000017">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8">
      <w:pPr>
        <w:ind w:left="360" w:hanging="360"/>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vertAlign w:val="baseline"/>
          <w:rtl w:val="0"/>
        </w:rPr>
        <w:t xml:space="preserve">5.</w:t>
        <w:tab/>
      </w:r>
      <w:r w:rsidDel="00000000" w:rsidR="00000000" w:rsidRPr="00000000">
        <w:rPr>
          <w:rFonts w:ascii="Calibri" w:cs="Calibri" w:eastAsia="Calibri" w:hAnsi="Calibri"/>
          <w:b w:val="1"/>
          <w:sz w:val="28"/>
          <w:szCs w:val="28"/>
          <w:u w:val="single"/>
          <w:vertAlign w:val="baseline"/>
          <w:rtl w:val="0"/>
        </w:rPr>
        <w:t xml:space="preserve">Visits in support of the curriculum which are desirable but not essential</w:t>
      </w:r>
      <w:r w:rsidDel="00000000" w:rsidR="00000000" w:rsidRPr="00000000">
        <w:rPr>
          <w:rtl w:val="0"/>
        </w:rPr>
      </w:r>
    </w:p>
    <w:p w:rsidR="00000000" w:rsidDel="00000000" w:rsidP="00000000" w:rsidRDefault="00000000" w:rsidRPr="00000000" w14:paraId="00000019">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The Governing Body recognises that the school may wish to offer opportunities for pupils to broaden the range of experience in connection with certain curriculum areas during school hours.  Such opportunities might comprise:  an educational visit to an historical site, a theatre visit, work in an art gallery or museum.</w:t>
      </w:r>
    </w:p>
    <w:p w:rsidR="00000000" w:rsidDel="00000000" w:rsidP="00000000" w:rsidRDefault="00000000" w:rsidRPr="00000000" w14:paraId="0000001A">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B">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The Governing Body's policy is to encourage the school to work jointly with parents in this respect, and invite voluntary contributions from parents, either generally to school funds or specifically for certain activities, in accordance with Section 460 of the 1996 Act.</w:t>
      </w:r>
    </w:p>
    <w:p w:rsidR="00000000" w:rsidDel="00000000" w:rsidP="00000000" w:rsidRDefault="00000000" w:rsidRPr="00000000" w14:paraId="0000001C">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r>
    </w:p>
    <w:p w:rsidR="00000000" w:rsidDel="00000000" w:rsidP="00000000" w:rsidRDefault="00000000" w:rsidRPr="00000000" w14:paraId="0000001D">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In encouraging such co-operation the Governing Body is anxious to ensure that parents are made aware that any such contributions are </w:t>
      </w:r>
      <w:r w:rsidDel="00000000" w:rsidR="00000000" w:rsidRPr="00000000">
        <w:rPr>
          <w:rFonts w:ascii="Calibri" w:cs="Calibri" w:eastAsia="Calibri" w:hAnsi="Calibri"/>
          <w:u w:val="single"/>
          <w:vertAlign w:val="baseline"/>
          <w:rtl w:val="0"/>
        </w:rPr>
        <w:t xml:space="preserve">voluntary</w:t>
      </w:r>
      <w:r w:rsidDel="00000000" w:rsidR="00000000" w:rsidRPr="00000000">
        <w:rPr>
          <w:rFonts w:ascii="Calibri" w:cs="Calibri" w:eastAsia="Calibri" w:hAnsi="Calibri"/>
          <w:vertAlign w:val="baseline"/>
          <w:rtl w:val="0"/>
        </w:rPr>
        <w:t xml:space="preserve"> and that pupils will not be treated differently according to  whether or not their parents have made any contribution.</w:t>
      </w:r>
    </w:p>
    <w:p w:rsidR="00000000" w:rsidDel="00000000" w:rsidP="00000000" w:rsidRDefault="00000000" w:rsidRPr="00000000" w14:paraId="0000001E">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F">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If a parent wishes their child to take part in a school trip or event, but is unwilling or unable to make a voluntary contribution, the child or children will be allowed to participate fully in the trip or activity.</w:t>
      </w:r>
    </w:p>
    <w:p w:rsidR="00000000" w:rsidDel="00000000" w:rsidP="00000000" w:rsidRDefault="00000000" w:rsidRPr="00000000" w14:paraId="00000020">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1">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The Governing Body recognises that the viability of visits in support of the curriculum which are desirable but not essential depends upon the level of voluntary financial support received from parents and delegate to the headteacher responsibility for decisions in relation to the viability of such visits.</w:t>
      </w:r>
    </w:p>
    <w:p w:rsidR="00000000" w:rsidDel="00000000" w:rsidP="00000000" w:rsidRDefault="00000000" w:rsidRPr="00000000" w14:paraId="00000022">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3">
      <w:pPr>
        <w:ind w:left="360" w:hanging="360"/>
        <w:jc w:val="both"/>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Remissions Policy</w:t>
      </w:r>
      <w:r w:rsidDel="00000000" w:rsidR="00000000" w:rsidRPr="00000000">
        <w:rPr>
          <w:rtl w:val="0"/>
        </w:rPr>
      </w:r>
    </w:p>
    <w:p w:rsidR="00000000" w:rsidDel="00000000" w:rsidP="00000000" w:rsidRDefault="00000000" w:rsidRPr="00000000" w14:paraId="00000024">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Those parents in receipt of one or more of the credits below may be offered assistance in paying for the trip or a longer period of instalments will be made available to enable their child to access the activity.</w:t>
      </w:r>
    </w:p>
    <w:p w:rsidR="00000000" w:rsidDel="00000000" w:rsidP="00000000" w:rsidRDefault="00000000" w:rsidRPr="00000000" w14:paraId="00000025">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6">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Income Support</w:t>
      </w:r>
    </w:p>
    <w:p w:rsidR="00000000" w:rsidDel="00000000" w:rsidP="00000000" w:rsidRDefault="00000000" w:rsidRPr="00000000" w14:paraId="00000027">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Income-based Jobseekers Allowance</w:t>
      </w:r>
    </w:p>
    <w:p w:rsidR="00000000" w:rsidDel="00000000" w:rsidP="00000000" w:rsidRDefault="00000000" w:rsidRPr="00000000" w14:paraId="00000028">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Income-related Employment and Support Allowance</w:t>
      </w:r>
    </w:p>
    <w:p w:rsidR="00000000" w:rsidDel="00000000" w:rsidP="00000000" w:rsidRDefault="00000000" w:rsidRPr="00000000" w14:paraId="00000029">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Support under part VI of the Immigration and Asylum Act 1999</w:t>
      </w:r>
    </w:p>
    <w:p w:rsidR="00000000" w:rsidDel="00000000" w:rsidP="00000000" w:rsidRDefault="00000000" w:rsidRPr="00000000" w14:paraId="0000002A">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guaranteed element of State Pension Credit</w:t>
      </w:r>
    </w:p>
    <w:p w:rsidR="00000000" w:rsidDel="00000000" w:rsidP="00000000" w:rsidRDefault="00000000" w:rsidRPr="00000000" w14:paraId="0000002B">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Child Tax Credit (provided you’re not also entitled to Working Tax Credit and have an annual gross income of no more then £16,190)</w:t>
      </w:r>
    </w:p>
    <w:p w:rsidR="00000000" w:rsidDel="00000000" w:rsidP="00000000" w:rsidRDefault="00000000" w:rsidRPr="00000000" w14:paraId="0000002C">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Universal Credit</w:t>
      </w:r>
    </w:p>
    <w:p w:rsidR="00000000" w:rsidDel="00000000" w:rsidP="00000000" w:rsidRDefault="00000000" w:rsidRPr="00000000" w14:paraId="0000002D">
      <w:pPr>
        <w:ind w:left="72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1">
      <w:pPr>
        <w:rPr>
          <w:rFonts w:ascii="Calibri" w:cs="Calibri" w:eastAsia="Calibri" w:hAnsi="Calibri"/>
          <w:i w:val="0"/>
          <w:sz w:val="32"/>
          <w:szCs w:val="32"/>
          <w:vertAlign w:val="baseline"/>
        </w:rPr>
      </w:pPr>
      <w:r w:rsidDel="00000000" w:rsidR="00000000" w:rsidRPr="00000000">
        <w:rPr>
          <w:rFonts w:ascii="Calibri" w:cs="Calibri" w:eastAsia="Calibri" w:hAnsi="Calibri"/>
          <w:i w:val="1"/>
          <w:sz w:val="32"/>
          <w:szCs w:val="32"/>
          <w:vertAlign w:val="baseline"/>
          <w:rtl w:val="0"/>
        </w:rPr>
        <w:t xml:space="preserve">Signed by a member of Staffing, Finance, Health &amp; Safety and Property Committee</w:t>
      </w:r>
      <w:r w:rsidDel="00000000" w:rsidR="00000000" w:rsidRPr="00000000">
        <w:rPr>
          <w:rtl w:val="0"/>
        </w:rPr>
      </w:r>
    </w:p>
    <w:p w:rsidR="00000000" w:rsidDel="00000000" w:rsidP="00000000" w:rsidRDefault="00000000" w:rsidRPr="00000000" w14:paraId="00000032">
      <w:pPr>
        <w:rPr>
          <w:rFonts w:ascii="Calibri" w:cs="Calibri" w:eastAsia="Calibri" w:hAnsi="Calibri"/>
          <w:sz w:val="32"/>
          <w:szCs w:val="32"/>
          <w:vertAlign w:val="baseline"/>
        </w:rPr>
      </w:pPr>
      <w:r w:rsidDel="00000000" w:rsidR="00000000" w:rsidRPr="00000000">
        <w:rPr>
          <w:rtl w:val="0"/>
        </w:rPr>
      </w:r>
    </w:p>
    <w:p w:rsidR="00000000" w:rsidDel="00000000" w:rsidP="00000000" w:rsidRDefault="00000000" w:rsidRPr="00000000" w14:paraId="00000033">
      <w:pPr>
        <w:rPr>
          <w:rFonts w:ascii="Calibri" w:cs="Calibri" w:eastAsia="Calibri" w:hAnsi="Calibri"/>
          <w:sz w:val="32"/>
          <w:szCs w:val="32"/>
          <w:vertAlign w:val="baseline"/>
        </w:rPr>
      </w:pPr>
      <w:r w:rsidDel="00000000" w:rsidR="00000000" w:rsidRPr="00000000">
        <w:rPr>
          <w:rFonts w:ascii="Calibri" w:cs="Calibri" w:eastAsia="Calibri" w:hAnsi="Calibri"/>
          <w:sz w:val="32"/>
          <w:szCs w:val="32"/>
          <w:vertAlign w:val="baseline"/>
          <w:rtl w:val="0"/>
        </w:rPr>
        <w:t xml:space="preserve">..................................................</w:t>
      </w:r>
    </w:p>
    <w:p w:rsidR="00000000" w:rsidDel="00000000" w:rsidP="00000000" w:rsidRDefault="00000000" w:rsidRPr="00000000" w14:paraId="00000034">
      <w:pPr>
        <w:rPr>
          <w:rFonts w:ascii="Calibri" w:cs="Calibri" w:eastAsia="Calibri" w:hAnsi="Calibri"/>
          <w:b w:val="0"/>
          <w:sz w:val="32"/>
          <w:szCs w:val="32"/>
          <w:vertAlign w:val="baseline"/>
        </w:rPr>
      </w:pPr>
      <w:r w:rsidDel="00000000" w:rsidR="00000000" w:rsidRPr="00000000">
        <w:rPr>
          <w:rtl w:val="0"/>
        </w:rPr>
      </w:r>
    </w:p>
    <w:p w:rsidR="00000000" w:rsidDel="00000000" w:rsidP="00000000" w:rsidRDefault="00000000" w:rsidRPr="00000000" w14:paraId="00000035">
      <w:pPr>
        <w:rPr>
          <w:rFonts w:ascii="Calibri" w:cs="Calibri" w:eastAsia="Calibri" w:hAnsi="Calibri"/>
          <w:b w:val="0"/>
          <w:sz w:val="32"/>
          <w:szCs w:val="32"/>
          <w:vertAlign w:val="baseline"/>
        </w:rPr>
      </w:pPr>
      <w:r w:rsidDel="00000000" w:rsidR="00000000" w:rsidRPr="00000000">
        <w:rPr>
          <w:rFonts w:ascii="Calibri" w:cs="Calibri" w:eastAsia="Calibri" w:hAnsi="Calibri"/>
          <w:b w:val="1"/>
          <w:sz w:val="32"/>
          <w:szCs w:val="32"/>
          <w:vertAlign w:val="baseline"/>
          <w:rtl w:val="0"/>
        </w:rPr>
        <w:t xml:space="preserve">This policy was reviewed:  </w:t>
        <w:tab/>
        <w:t xml:space="preserve">Autumn </w:t>
      </w:r>
      <w:r w:rsidDel="00000000" w:rsidR="00000000" w:rsidRPr="00000000">
        <w:rPr>
          <w:rFonts w:ascii="Calibri" w:cs="Calibri" w:eastAsia="Calibri" w:hAnsi="Calibri"/>
          <w:b w:val="1"/>
          <w:sz w:val="32"/>
          <w:szCs w:val="32"/>
          <w:rtl w:val="0"/>
        </w:rPr>
        <w:t xml:space="preserve">2022</w:t>
      </w:r>
      <w:r w:rsidDel="00000000" w:rsidR="00000000" w:rsidRPr="00000000">
        <w:rPr>
          <w:rtl w:val="0"/>
        </w:rPr>
      </w:r>
    </w:p>
    <w:p w:rsidR="00000000" w:rsidDel="00000000" w:rsidP="00000000" w:rsidRDefault="00000000" w:rsidRPr="00000000" w14:paraId="00000036">
      <w:pPr>
        <w:rPr>
          <w:rFonts w:ascii="Calibri" w:cs="Calibri" w:eastAsia="Calibri" w:hAnsi="Calibri"/>
          <w:b w:val="0"/>
          <w:sz w:val="32"/>
          <w:szCs w:val="32"/>
          <w:vertAlign w:val="baseline"/>
        </w:rPr>
      </w:pPr>
      <w:r w:rsidDel="00000000" w:rsidR="00000000" w:rsidRPr="00000000">
        <w:rPr>
          <w:rFonts w:ascii="Calibri" w:cs="Calibri" w:eastAsia="Calibri" w:hAnsi="Calibri"/>
          <w:b w:val="1"/>
          <w:sz w:val="32"/>
          <w:szCs w:val="32"/>
          <w:vertAlign w:val="baseline"/>
          <w:rtl w:val="0"/>
        </w:rPr>
        <w:t xml:space="preserve">Date of next review:</w:t>
        <w:tab/>
        <w:tab/>
        <w:t xml:space="preserve">Autumn 202</w:t>
      </w:r>
      <w:r w:rsidDel="00000000" w:rsidR="00000000" w:rsidRPr="00000000">
        <w:rPr>
          <w:rFonts w:ascii="Calibri" w:cs="Calibri" w:eastAsia="Calibri" w:hAnsi="Calibri"/>
          <w:b w:val="1"/>
          <w:sz w:val="32"/>
          <w:szCs w:val="32"/>
          <w:rtl w:val="0"/>
        </w:rPr>
        <w:t xml:space="preserve">4</w:t>
      </w:r>
      <w:r w:rsidDel="00000000" w:rsidR="00000000" w:rsidRPr="00000000">
        <w:rPr>
          <w:rtl w:val="0"/>
        </w:rPr>
      </w:r>
    </w:p>
    <w:p w:rsidR="00000000" w:rsidDel="00000000" w:rsidP="00000000" w:rsidRDefault="00000000" w:rsidRPr="00000000" w14:paraId="00000037">
      <w:pPr>
        <w:rPr>
          <w:rFonts w:ascii="Calibri" w:cs="Calibri" w:eastAsia="Calibri" w:hAnsi="Calibri"/>
          <w:b w:val="0"/>
          <w:sz w:val="32"/>
          <w:szCs w:val="32"/>
          <w:vertAlign w:val="baseline"/>
        </w:rPr>
      </w:pPr>
      <w:r w:rsidDel="00000000" w:rsidR="00000000" w:rsidRPr="00000000">
        <w:rPr>
          <w:rtl w:val="0"/>
        </w:rPr>
      </w:r>
    </w:p>
    <w:p w:rsidR="00000000" w:rsidDel="00000000" w:rsidP="00000000" w:rsidRDefault="00000000" w:rsidRPr="00000000" w14:paraId="00000038">
      <w:pPr>
        <w:rPr>
          <w:vertAlign w:val="baseline"/>
        </w:rPr>
      </w:pPr>
      <w:r w:rsidDel="00000000" w:rsidR="00000000" w:rsidRPr="00000000">
        <w:rPr>
          <w:rtl w:val="0"/>
        </w:rPr>
      </w:r>
    </w:p>
    <w:p w:rsidR="00000000" w:rsidDel="00000000" w:rsidP="00000000" w:rsidRDefault="00000000" w:rsidRPr="00000000" w14:paraId="00000039">
      <w:pPr>
        <w:rPr>
          <w:rFonts w:ascii="Calibri" w:cs="Calibri" w:eastAsia="Calibri" w:hAnsi="Calibri"/>
          <w:b w:val="0"/>
          <w:sz w:val="28"/>
          <w:szCs w:val="28"/>
          <w:u w:val="single"/>
          <w:vertAlign w:val="baseline"/>
        </w:rPr>
      </w:pPr>
      <w:r w:rsidDel="00000000" w:rsidR="00000000" w:rsidRPr="00000000">
        <w:rPr>
          <w:rtl w:val="0"/>
        </w:rPr>
      </w:r>
    </w:p>
    <w:p w:rsidR="00000000" w:rsidDel="00000000" w:rsidP="00000000" w:rsidRDefault="00000000" w:rsidRPr="00000000" w14:paraId="0000003A">
      <w:pPr>
        <w:ind w:left="360" w:hanging="360"/>
        <w:jc w:val="both"/>
        <w:rPr>
          <w:rFonts w:ascii="Calibri" w:cs="Calibri" w:eastAsia="Calibri" w:hAnsi="Calibri"/>
          <w:vertAlign w:val="baseline"/>
        </w:rPr>
      </w:pPr>
      <w:r w:rsidDel="00000000" w:rsidR="00000000" w:rsidRPr="00000000">
        <w:rPr>
          <w:rtl w:val="0"/>
        </w:rPr>
      </w:r>
    </w:p>
    <w:sectPr>
      <w:pgSz w:h="16834" w:w="11909" w:orient="portrait"/>
      <w:pgMar w:bottom="1008" w:top="1008" w:left="1296" w:right="129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n-GB"/>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eastAsia="en-US"/>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GB"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BztWrmMuiTzPyxNZdZk6WX2pLQ==">AMUW2mXlT4RkrpfZGl+KwXIyFYp6BNiqAbYGqJFL87arygphLo02MJEFBw8b91gOi7ddKGgKXOhoLdqS4o4S4tFYVOOPYI+dQEen/xlue2PWI9zZp7DYbv4=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2020-09-30T11:05:00Z</dcterms:created>
  <dc:creator>Morpeth Chantry County Middle School</dc:creator>
</cp:coreProperties>
</file>